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689" w:rsidRPr="00DA56E3" w:rsidRDefault="00145689" w:rsidP="00BF784B">
      <w:pPr>
        <w:jc w:val="both"/>
        <w:rPr>
          <w:b/>
        </w:rPr>
      </w:pPr>
      <w:r w:rsidRPr="00DA56E3">
        <w:rPr>
          <w:b/>
        </w:rPr>
        <w:t>Objeto: aplicación de la sanción administrativa pecuniaria conforme al art. 12, párrafo 1 bis, del Decreto Legislativo n. 136 de 2016 - circulación en ausencia de la documentación requerida por el art. 10, párrafos I-ter y I-</w:t>
      </w:r>
      <w:proofErr w:type="spellStart"/>
      <w:r w:rsidRPr="00DA56E3">
        <w:rPr>
          <w:b/>
        </w:rPr>
        <w:t>quater</w:t>
      </w:r>
      <w:proofErr w:type="spellEnd"/>
      <w:r w:rsidRPr="00DA56E3">
        <w:rPr>
          <w:b/>
        </w:rPr>
        <w:t>.</w:t>
      </w:r>
      <w:bookmarkStart w:id="0" w:name="_GoBack"/>
      <w:bookmarkEnd w:id="0"/>
    </w:p>
    <w:p w:rsidR="00145689" w:rsidRDefault="00145689" w:rsidP="00BF784B">
      <w:pPr>
        <w:jc w:val="both"/>
      </w:pPr>
      <w:r>
        <w:t>En referencia al objeto</w:t>
      </w:r>
      <w:r w:rsidR="00164645">
        <w:t>, se</w:t>
      </w:r>
      <w:r>
        <w:t xml:space="preserve"> transmite el parecer del</w:t>
      </w:r>
      <w:r>
        <w:t xml:space="preserve"> dictamen del Consejo de Estado</w:t>
      </w:r>
      <w:r>
        <w:t xml:space="preserve"> del </w:t>
      </w:r>
      <w:r>
        <w:t>9 de mayo</w:t>
      </w:r>
      <w:r>
        <w:t xml:space="preserve"> de</w:t>
      </w:r>
      <w:r>
        <w:t xml:space="preserve"> 2018 que, cuando se le preguntó por el Ministerio del Interior, aclaró - compartiendo así la posición expresada por la Inspección y el Ministerio de Trabajo y políticas social: que el </w:t>
      </w:r>
      <w:r>
        <w:t>delito</w:t>
      </w:r>
      <w:r>
        <w:t xml:space="preserve"> en cuestión </w:t>
      </w:r>
      <w:r>
        <w:t>introducido</w:t>
      </w:r>
      <w:r>
        <w:t xml:space="preserve"> con</w:t>
      </w:r>
      <w:r>
        <w:t xml:space="preserve"> el</w:t>
      </w:r>
      <w:r>
        <w:t xml:space="preserve"> DL n. 50/2017 (según la Ley No. 96/2017), solo se aplica la disciplina del Código de circulación.</w:t>
      </w:r>
    </w:p>
    <w:p w:rsidR="00145689" w:rsidRDefault="00145689" w:rsidP="00BF784B">
      <w:pPr>
        <w:jc w:val="both"/>
      </w:pPr>
      <w:r>
        <w:t>El Ministerio del Interior con</w:t>
      </w:r>
      <w:r w:rsidR="00164645">
        <w:t xml:space="preserve"> la</w:t>
      </w:r>
      <w:r>
        <w:t xml:space="preserve"> </w:t>
      </w:r>
      <w:proofErr w:type="spellStart"/>
      <w:r>
        <w:t>circ</w:t>
      </w:r>
      <w:proofErr w:type="spellEnd"/>
      <w:r>
        <w:t xml:space="preserve">. </w:t>
      </w:r>
      <w:proofErr w:type="gramStart"/>
      <w:r>
        <w:t>del</w:t>
      </w:r>
      <w:proofErr w:type="gramEnd"/>
      <w:r>
        <w:t xml:space="preserve"> 10 de julio de 2018, que es totalmente exhaustiv</w:t>
      </w:r>
      <w:r>
        <w:t>a</w:t>
      </w:r>
      <w:r>
        <w:t>, por lo tanto, ha emitido las consiguientes instrucciones de funcionamiento a los órganos de control.</w:t>
      </w:r>
    </w:p>
    <w:p w:rsidR="00145689" w:rsidRDefault="00145689" w:rsidP="00BF784B">
      <w:pPr>
        <w:jc w:val="both"/>
      </w:pPr>
      <w:r>
        <w:t xml:space="preserve">Como se sabe, la pena prevista en el art. 12, párrafo 1 bis, se aplica por los órganos de policía de tráfico para el conductor de un vehículo que, en el esquema de </w:t>
      </w:r>
      <w:r>
        <w:t>desplazamiento</w:t>
      </w:r>
      <w:r>
        <w:t xml:space="preserve"> o de ca</w:t>
      </w:r>
      <w:r>
        <w:t xml:space="preserve">botaje por carretera, </w:t>
      </w:r>
      <w:r w:rsidR="00164645">
        <w:t>circula</w:t>
      </w:r>
      <w:r>
        <w:t xml:space="preserve"> sin notificación previa de desplazamiento o sin tener SEGLI con otros documentos previstos por el art. </w:t>
      </w:r>
      <w:r>
        <w:t xml:space="preserve">10, párrafo 1 </w:t>
      </w:r>
      <w:proofErr w:type="spellStart"/>
      <w:r>
        <w:t>quarte</w:t>
      </w:r>
      <w:r>
        <w:t>r</w:t>
      </w:r>
      <w:proofErr w:type="spellEnd"/>
      <w:r>
        <w:t xml:space="preserve"> ( Contrato de trabajo u otro documento que contiene la información especificada en los artículos 1 </w:t>
      </w:r>
      <w:r>
        <w:t xml:space="preserve">y 2 de </w:t>
      </w:r>
      <w:proofErr w:type="spellStart"/>
      <w:r>
        <w:t>D.Lgs</w:t>
      </w:r>
      <w:proofErr w:type="spellEnd"/>
      <w:r>
        <w:t>.</w:t>
      </w:r>
      <w:r>
        <w:t xml:space="preserve"> N. 152/1997 y </w:t>
      </w:r>
      <w:r>
        <w:t>nomina</w:t>
      </w:r>
      <w:r>
        <w:t xml:space="preserve">) 0 "con documentación </w:t>
      </w:r>
      <w:r>
        <w:t xml:space="preserve">que </w:t>
      </w:r>
      <w:r>
        <w:t xml:space="preserve">no se ajusta a las disposiciones anteriores"; </w:t>
      </w:r>
      <w:r w:rsidR="00BF784B">
        <w:t xml:space="preserve">siendo </w:t>
      </w:r>
      <w:r>
        <w:t>el propietario del vehículo con el que se realiza el transporte</w:t>
      </w:r>
      <w:r>
        <w:t xml:space="preserve"> </w:t>
      </w:r>
      <w:r>
        <w:t>solidariamente responsable del incumplimiento de las obligaciones en cuestión (véase la circular M</w:t>
      </w:r>
      <w:r>
        <w:t>I</w:t>
      </w:r>
      <w:r>
        <w:t xml:space="preserve"> 10 de julio de 2018, página 7).</w:t>
      </w:r>
    </w:p>
    <w:p w:rsidR="00BF784B" w:rsidRDefault="00BF784B" w:rsidP="00550961">
      <w:pPr>
        <w:jc w:val="both"/>
      </w:pPr>
      <w:r>
        <w:t>Po</w:t>
      </w:r>
      <w:r w:rsidR="00145689">
        <w:t>r</w:t>
      </w:r>
      <w:r>
        <w:t xml:space="preserve"> tal</w:t>
      </w:r>
      <w:r w:rsidR="00145689">
        <w:t xml:space="preserve"> violación, la ausencia de documentación a bordo, el Consejo de Estado ha excluido la aplicación de la disciplina de la Ley n. 689/1981, también en relación con la posible continuación del procedimiento sancionador.</w:t>
      </w:r>
    </w:p>
    <w:p w:rsidR="00DD59C2" w:rsidRDefault="00145689" w:rsidP="00550961">
      <w:pPr>
        <w:jc w:val="both"/>
      </w:pPr>
      <w:r>
        <w:t xml:space="preserve">Por lo tanto, en la hipótesis en que, antes de la aclaración del Consejo de Estado, los órganos de control de la policía de tráfico han enviado a estas oficinas la relación de conformidad con el art. 17 de L n. 689/1981 sobre la determinación de la violación de las obligaciones de conformidad con el art. 10, párrafo 1 b y c, invitará a las mismas oficinas para devolver los documentos a los mismos </w:t>
      </w:r>
      <w:r w:rsidR="00DD59C2">
        <w:t>cuerpos de inspección</w:t>
      </w:r>
      <w:r>
        <w:t xml:space="preserve">, dando </w:t>
      </w:r>
      <w:r w:rsidR="00550961">
        <w:t xml:space="preserve">seguimiento </w:t>
      </w:r>
      <w:r>
        <w:t>exclusivamente para llevar a cabo</w:t>
      </w:r>
      <w:r w:rsidR="00550961">
        <w:t xml:space="preserve"> a</w:t>
      </w:r>
      <w:r>
        <w:t xml:space="preserve"> la oficina verificada - sobre la posible violación de</w:t>
      </w:r>
      <w:r w:rsidR="00DD59C2">
        <w:t xml:space="preserve"> la obligación de comunicación previa del art.</w:t>
      </w:r>
      <w:r>
        <w:t>. 10, párrafo 1.</w:t>
      </w:r>
    </w:p>
    <w:p w:rsidR="00550961" w:rsidRDefault="00550961" w:rsidP="00550961">
      <w:pPr>
        <w:jc w:val="both"/>
      </w:pPr>
      <w:r>
        <w:t>De hecho, la competencia de los inspectores del trabajo se mantiene firme</w:t>
      </w:r>
      <w:r w:rsidR="00145689">
        <w:t xml:space="preserve"> </w:t>
      </w:r>
      <w:r>
        <w:t>en relación con la determinación y la impugnación de la violación en cuestión,</w:t>
      </w:r>
      <w:r w:rsidR="00145689">
        <w:t xml:space="preserve"> </w:t>
      </w:r>
      <w:r>
        <w:t>sobre</w:t>
      </w:r>
      <w:r w:rsidR="00145689">
        <w:t xml:space="preserve"> la no realización de la notificación previa de </w:t>
      </w:r>
      <w:r>
        <w:t xml:space="preserve">desplazamiento </w:t>
      </w:r>
      <w:r w:rsidR="00145689">
        <w:t xml:space="preserve">y de cabotaje </w:t>
      </w:r>
      <w:r>
        <w:t>al Mi</w:t>
      </w:r>
      <w:r w:rsidR="00145689">
        <w:t>nister</w:t>
      </w:r>
      <w:r>
        <w:t>i</w:t>
      </w:r>
      <w:r w:rsidR="00145689">
        <w:t xml:space="preserve">o </w:t>
      </w:r>
      <w:r>
        <w:t xml:space="preserve">de </w:t>
      </w:r>
      <w:r w:rsidR="00145689">
        <w:t xml:space="preserve">Trabajo y Política Social, sancionadas de conformidad </w:t>
      </w:r>
      <w:r>
        <w:t>con</w:t>
      </w:r>
      <w:r w:rsidR="00145689">
        <w:t xml:space="preserve"> el arte. 12, párrafo 1.</w:t>
      </w:r>
    </w:p>
    <w:p w:rsidR="00550961" w:rsidRDefault="00145689" w:rsidP="00735C7E">
      <w:pPr>
        <w:jc w:val="both"/>
      </w:pPr>
      <w:r>
        <w:t>En este último aspecto, debe considerarse que la violación de las obligaciones adicionales introducidas en el art. 10, letra del párrafo 1 bis b) - la indicación en la comunicación de información adicional sobre el pago por hora bruto en euros y los métodos para reembolsar los gastos de viaje, alojamiento y comida - no complementan el delito mencionado en el art. 12, párrafo 1, ya que el mismo se refiere expresamente a la violación de las obligaciones a que se refiere el párrafo 1 del art. 10.</w:t>
      </w:r>
    </w:p>
    <w:p w:rsidR="00550961" w:rsidRDefault="00145689" w:rsidP="00735C7E">
      <w:pPr>
        <w:jc w:val="both"/>
      </w:pPr>
      <w:r>
        <w:lastRenderedPageBreak/>
        <w:t xml:space="preserve">Por lo tanto, el personal de inspección seguirá las indicaciones ya provistas con el circular MLPS-INL no. 3 de 22 de diciembre de 2016 y con una nota INL </w:t>
      </w:r>
      <w:proofErr w:type="spellStart"/>
      <w:r>
        <w:t>prot</w:t>
      </w:r>
      <w:proofErr w:type="spellEnd"/>
      <w:r>
        <w:t xml:space="preserve">. n. 1670 del 28 de febrero de 2017 </w:t>
      </w:r>
      <w:r w:rsidR="00735C7E">
        <w:t>sobre la verificación del cumplimiento de la obligación de notificación previa a cargo del proveedor del servicio.</w:t>
      </w:r>
    </w:p>
    <w:p w:rsidR="00DA78A5" w:rsidRDefault="00DA78A5" w:rsidP="00DA78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A78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último, también se refiere a la aplicación de la sanción la Policía de Tránsito </w:t>
      </w:r>
      <w:r w:rsidRPr="00DA78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la cual </w:t>
      </w:r>
      <w:r w:rsidRPr="00DA78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 responsable de conformidad con el art. 12, párrafo 1 bis, sin embargo, la plataforma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informática</w:t>
      </w:r>
      <w:r w:rsidRPr="00DA78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Ministerio de Trabajo y Política Social actualmente en uso se actualizará de acuerdo con las disposiciones introducidas y, debido a las iniciativas relacionadas, esto se transmite a la Dirección General de los sistemas de información del Ministerio de las políticas laborales y sociales y del Ministerio del Interior en lo que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le compete</w:t>
      </w:r>
      <w:r w:rsidRPr="00DA78A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A78A5" w:rsidRPr="00DA78A5" w:rsidRDefault="00DA78A5" w:rsidP="00DA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93F17" w:rsidRDefault="00F93F17" w:rsidP="00DA78A5"/>
    <w:sectPr w:rsidR="00F93F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689"/>
    <w:rsid w:val="00145689"/>
    <w:rsid w:val="00164645"/>
    <w:rsid w:val="00550961"/>
    <w:rsid w:val="00735C7E"/>
    <w:rsid w:val="00BF784B"/>
    <w:rsid w:val="00DA56E3"/>
    <w:rsid w:val="00DA78A5"/>
    <w:rsid w:val="00DD59C2"/>
    <w:rsid w:val="00F9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9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630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María Quijano</dc:creator>
  <cp:lastModifiedBy>Jose María Quijano</cp:lastModifiedBy>
  <cp:revision>2</cp:revision>
  <dcterms:created xsi:type="dcterms:W3CDTF">2018-08-20T09:19:00Z</dcterms:created>
  <dcterms:modified xsi:type="dcterms:W3CDTF">2018-08-20T12:24:00Z</dcterms:modified>
</cp:coreProperties>
</file>